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ANEXO III - INSTRUMENTO DE MEDIÇÃO DE RESULTADOS (IMR)</w:t>
      </w:r>
    </w:p>
    <w:p>
      <w:r>
        <w:t>Serviços de manutenção preventiva e corretiva de aparelhos de ar-condicionado, bebedouros, geladeiras, refrigeradores, freezers e câmaras frias.</w:t>
        <w:br/>
      </w:r>
    </w:p>
    <w:p>
      <w:pPr>
        <w:pStyle w:val="Heading2"/>
      </w:pPr>
      <w:r>
        <w:t>1. Objetivo</w:t>
      </w:r>
    </w:p>
    <w:p>
      <w:r>
        <w:t>Estabelecer critérios objetivos para avaliação da qualidade dos serviços prestados, vinculando o pagamento mensal ao desempenho da contratada.</w:t>
      </w:r>
    </w:p>
    <w:p>
      <w:pPr>
        <w:pStyle w:val="Heading2"/>
      </w:pPr>
      <w:r>
        <w:t>2. Indicadores de Desempenho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Indicador</w:t>
            </w:r>
          </w:p>
        </w:tc>
        <w:tc>
          <w:tcPr>
            <w:tcW w:type="dxa" w:w="2880"/>
          </w:tcPr>
          <w:p>
            <w:r>
              <w:t>Peso</w:t>
            </w:r>
          </w:p>
        </w:tc>
        <w:tc>
          <w:tcPr>
            <w:tcW w:type="dxa" w:w="2880"/>
          </w:tcPr>
          <w:p>
            <w:r>
              <w:t>Meta</w:t>
            </w:r>
          </w:p>
        </w:tc>
      </w:tr>
      <w:tr>
        <w:tc>
          <w:tcPr>
            <w:tcW w:type="dxa" w:w="2880"/>
          </w:tcPr>
          <w:p>
            <w:r>
              <w:t>Indicador 1 – Atendimento aos Chamados</w:t>
            </w:r>
          </w:p>
        </w:tc>
        <w:tc>
          <w:tcPr>
            <w:tcW w:type="dxa" w:w="2880"/>
          </w:tcPr>
          <w:p>
            <w:r>
              <w:t>20</w:t>
            </w:r>
          </w:p>
        </w:tc>
        <w:tc>
          <w:tcPr>
            <w:tcW w:type="dxa" w:w="2880"/>
          </w:tcPr>
          <w:p>
            <w:r>
              <w:t>Emergenciais em até 2h úteis e corretivos em até 1 dia útil</w:t>
            </w:r>
          </w:p>
        </w:tc>
      </w:tr>
      <w:tr>
        <w:tc>
          <w:tcPr>
            <w:tcW w:type="dxa" w:w="2880"/>
          </w:tcPr>
          <w:p>
            <w:r>
              <w:t>Indicador 2 – Solução dos Chamados</w:t>
            </w:r>
          </w:p>
        </w:tc>
        <w:tc>
          <w:tcPr>
            <w:tcW w:type="dxa" w:w="2880"/>
          </w:tcPr>
          <w:p>
            <w:r>
              <w:t>20</w:t>
            </w:r>
          </w:p>
        </w:tc>
        <w:tc>
          <w:tcPr>
            <w:tcW w:type="dxa" w:w="2880"/>
          </w:tcPr>
          <w:p>
            <w:r>
              <w:t>Emergenciais em até 24h e corretivos em até 5 dias úteis</w:t>
            </w:r>
          </w:p>
        </w:tc>
      </w:tr>
      <w:tr>
        <w:tc>
          <w:tcPr>
            <w:tcW w:type="dxa" w:w="2880"/>
          </w:tcPr>
          <w:p>
            <w:r>
              <w:t>Indicador 3 – Execução das Preventivas</w:t>
            </w:r>
          </w:p>
        </w:tc>
        <w:tc>
          <w:tcPr>
            <w:tcW w:type="dxa" w:w="2880"/>
          </w:tcPr>
          <w:p>
            <w:r>
              <w:t>20</w:t>
            </w:r>
          </w:p>
        </w:tc>
        <w:tc>
          <w:tcPr>
            <w:tcW w:type="dxa" w:w="2880"/>
          </w:tcPr>
          <w:p>
            <w:r>
              <w:t>Cumprimento do cronograma de manutenção preventiva</w:t>
            </w:r>
          </w:p>
        </w:tc>
      </w:tr>
      <w:tr>
        <w:tc>
          <w:tcPr>
            <w:tcW w:type="dxa" w:w="2880"/>
          </w:tcPr>
          <w:p>
            <w:r>
              <w:t>Indicador 4 – Retrabalho e Garantia</w:t>
            </w:r>
          </w:p>
        </w:tc>
        <w:tc>
          <w:tcPr>
            <w:tcW w:type="dxa" w:w="2880"/>
          </w:tcPr>
          <w:p>
            <w:r>
              <w:t>15</w:t>
            </w:r>
          </w:p>
        </w:tc>
        <w:tc>
          <w:tcPr>
            <w:tcW w:type="dxa" w:w="2880"/>
          </w:tcPr>
          <w:p>
            <w:r>
              <w:t>Ocorrência de falhas repetidas em até 90 dias</w:t>
            </w:r>
          </w:p>
        </w:tc>
      </w:tr>
      <w:tr>
        <w:tc>
          <w:tcPr>
            <w:tcW w:type="dxa" w:w="2880"/>
          </w:tcPr>
          <w:p>
            <w:r>
              <w:t>Indicador 5 – Desempenho dos Equipamentos</w:t>
            </w:r>
          </w:p>
        </w:tc>
        <w:tc>
          <w:tcPr>
            <w:tcW w:type="dxa" w:w="2880"/>
          </w:tcPr>
          <w:p>
            <w:r>
              <w:t>15</w:t>
            </w:r>
          </w:p>
        </w:tc>
        <w:tc>
          <w:tcPr>
            <w:tcW w:type="dxa" w:w="2880"/>
          </w:tcPr>
          <w:p>
            <w:r>
              <w:t>Conformidade térmica dos equipamentos</w:t>
            </w:r>
          </w:p>
        </w:tc>
      </w:tr>
      <w:tr>
        <w:tc>
          <w:tcPr>
            <w:tcW w:type="dxa" w:w="2880"/>
          </w:tcPr>
          <w:p>
            <w:r>
              <w:t>Indicador 6 – Qualidade das Peças</w:t>
            </w:r>
          </w:p>
        </w:tc>
        <w:tc>
          <w:tcPr>
            <w:tcW w:type="dxa" w:w="2880"/>
          </w:tcPr>
          <w:p>
            <w:r>
              <w:t>10</w:t>
            </w:r>
          </w:p>
        </w:tc>
        <w:tc>
          <w:tcPr>
            <w:tcW w:type="dxa" w:w="2880"/>
          </w:tcPr>
          <w:p>
            <w:r>
              <w:t>Peças compatíveis e comprovadas documentalmente</w:t>
            </w:r>
          </w:p>
        </w:tc>
      </w:tr>
    </w:tbl>
    <w:p>
      <w:pPr>
        <w:pStyle w:val="Heading2"/>
      </w:pPr>
      <w:r>
        <w:t>3. Faixas de Pagamento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Nota Final</w:t>
            </w:r>
          </w:p>
        </w:tc>
        <w:tc>
          <w:tcPr>
            <w:tcW w:type="dxa" w:w="4320"/>
          </w:tcPr>
          <w:p>
            <w:r>
              <w:t>Pagamento</w:t>
            </w:r>
          </w:p>
        </w:tc>
      </w:tr>
      <w:tr>
        <w:tc>
          <w:tcPr>
            <w:tcW w:type="dxa" w:w="4320"/>
          </w:tcPr>
          <w:p>
            <w:r>
              <w:t>95 a 100</w:t>
            </w:r>
          </w:p>
        </w:tc>
        <w:tc>
          <w:tcPr>
            <w:tcW w:type="dxa" w:w="4320"/>
          </w:tcPr>
          <w:p>
            <w:r>
              <w:t>100%</w:t>
            </w:r>
          </w:p>
        </w:tc>
      </w:tr>
      <w:tr>
        <w:tc>
          <w:tcPr>
            <w:tcW w:type="dxa" w:w="4320"/>
          </w:tcPr>
          <w:p>
            <w:r>
              <w:t>90 a 94</w:t>
            </w:r>
          </w:p>
        </w:tc>
        <w:tc>
          <w:tcPr>
            <w:tcW w:type="dxa" w:w="4320"/>
          </w:tcPr>
          <w:p>
            <w:r>
              <w:t>98%</w:t>
            </w:r>
          </w:p>
        </w:tc>
      </w:tr>
      <w:tr>
        <w:tc>
          <w:tcPr>
            <w:tcW w:type="dxa" w:w="4320"/>
          </w:tcPr>
          <w:p>
            <w:r>
              <w:t>85 a 89</w:t>
            </w:r>
          </w:p>
        </w:tc>
        <w:tc>
          <w:tcPr>
            <w:tcW w:type="dxa" w:w="4320"/>
          </w:tcPr>
          <w:p>
            <w:r>
              <w:t>95%</w:t>
            </w:r>
          </w:p>
        </w:tc>
      </w:tr>
      <w:tr>
        <w:tc>
          <w:tcPr>
            <w:tcW w:type="dxa" w:w="4320"/>
          </w:tcPr>
          <w:p>
            <w:r>
              <w:t>80 a 84</w:t>
            </w:r>
          </w:p>
        </w:tc>
        <w:tc>
          <w:tcPr>
            <w:tcW w:type="dxa" w:w="4320"/>
          </w:tcPr>
          <w:p>
            <w:r>
              <w:t>92%</w:t>
            </w:r>
          </w:p>
        </w:tc>
      </w:tr>
      <w:tr>
        <w:tc>
          <w:tcPr>
            <w:tcW w:type="dxa" w:w="4320"/>
          </w:tcPr>
          <w:p>
            <w:r>
              <w:t>75 a 79</w:t>
            </w:r>
          </w:p>
        </w:tc>
        <w:tc>
          <w:tcPr>
            <w:tcW w:type="dxa" w:w="4320"/>
          </w:tcPr>
          <w:p>
            <w:r>
              <w:t>90%</w:t>
            </w:r>
          </w:p>
        </w:tc>
      </w:tr>
      <w:tr>
        <w:tc>
          <w:tcPr>
            <w:tcW w:type="dxa" w:w="4320"/>
          </w:tcPr>
          <w:p>
            <w:r>
              <w:t>Abaixo de 75</w:t>
            </w:r>
          </w:p>
        </w:tc>
        <w:tc>
          <w:tcPr>
            <w:tcW w:type="dxa" w:w="4320"/>
          </w:tcPr>
          <w:p>
            <w:r>
              <w:t>85% e avaliação de sanções</w:t>
            </w:r>
          </w:p>
        </w:tc>
      </w:tr>
    </w:tbl>
    <w:p>
      <w:pPr>
        <w:pStyle w:val="Heading2"/>
      </w:pPr>
      <w:r>
        <w:t>4. Disposições Finais</w:t>
      </w:r>
    </w:p>
    <w:p>
      <w:r>
        <w:t>A aplicação do IMR não afasta a responsabilidade da contratada pela reparação integral de danos e poderá subsidiar a aplicação de sanções administrativas previstas na Lei nº 14.133/2021.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